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r."/>
        <w:tag w:val="part_f832bb9254954c85b1839cd586675e9d"/>
        <w:id w:val="415764091"/>
        <w:lock w:val="sdtLocked"/>
      </w:sdtPr>
      <w:sdtContent>
        <w:p w:rsidR="000B7171" w:rsidRDefault="000B7171">
          <w:pPr>
            <w:tabs>
              <w:tab w:val="center" w:pos="4819"/>
              <w:tab w:val="right" w:pos="9638"/>
            </w:tabs>
            <w:rPr>
              <w:szCs w:val="24"/>
              <w:lang w:val="en-GB"/>
            </w:rPr>
          </w:pPr>
        </w:p>
        <w:p w:rsidR="000B7171" w:rsidRDefault="009F3ACB" w:rsidP="009F3ACB">
          <w:pPr>
            <w:ind w:left="2592" w:firstLine="1296"/>
            <w:rPr>
              <w:szCs w:val="24"/>
            </w:rPr>
          </w:pPr>
          <w:r>
            <w:rPr>
              <w:szCs w:val="24"/>
            </w:rPr>
            <w:t>Patvirtinta:</w:t>
          </w:r>
        </w:p>
        <w:p w:rsidR="009F3ACB" w:rsidRDefault="009F3ACB" w:rsidP="009F3ACB">
          <w:pPr>
            <w:ind w:left="2592" w:firstLine="1296"/>
            <w:rPr>
              <w:szCs w:val="24"/>
            </w:rPr>
          </w:pPr>
          <w:r>
            <w:rPr>
              <w:szCs w:val="24"/>
            </w:rPr>
            <w:t>Viešosios įstaigos Kupiškio rajono savivaldybės</w:t>
          </w:r>
        </w:p>
        <w:p w:rsidR="009F3ACB" w:rsidRDefault="009F3ACB" w:rsidP="009F3ACB">
          <w:pPr>
            <w:ind w:left="2592" w:firstLine="1296"/>
            <w:rPr>
              <w:szCs w:val="24"/>
            </w:rPr>
          </w:pPr>
          <w:r>
            <w:rPr>
              <w:szCs w:val="24"/>
            </w:rPr>
            <w:t xml:space="preserve">pirminės asmens sveikatos priežiūros centro direktoriaus </w:t>
          </w:r>
        </w:p>
        <w:p w:rsidR="009F3ACB" w:rsidRDefault="009F3ACB" w:rsidP="009F3ACB">
          <w:pPr>
            <w:ind w:left="2592" w:firstLine="1296"/>
            <w:rPr>
              <w:szCs w:val="24"/>
            </w:rPr>
          </w:pPr>
          <w:r>
            <w:rPr>
              <w:szCs w:val="24"/>
            </w:rPr>
            <w:t>pavaduotojos medicinai</w:t>
          </w:r>
          <w:r w:rsidR="006B17F2">
            <w:rPr>
              <w:szCs w:val="24"/>
            </w:rPr>
            <w:t>,</w:t>
          </w:r>
          <w:r>
            <w:rPr>
              <w:szCs w:val="24"/>
            </w:rPr>
            <w:t xml:space="preserve"> l. e. direktoriaus pareigas</w:t>
          </w:r>
        </w:p>
        <w:p w:rsidR="009F3ACB" w:rsidRDefault="009F3ACB" w:rsidP="009F3ACB">
          <w:pPr>
            <w:ind w:left="2592" w:firstLine="1296"/>
            <w:rPr>
              <w:szCs w:val="24"/>
            </w:rPr>
          </w:pPr>
          <w:r>
            <w:rPr>
              <w:szCs w:val="24"/>
            </w:rPr>
            <w:t>Lauros Polikevičienės 2022 m. spalio 4 d. įsakymu Nr.135</w:t>
          </w:r>
        </w:p>
        <w:p w:rsidR="000B7171" w:rsidRDefault="000B7171">
          <w:pPr>
            <w:rPr>
              <w:szCs w:val="24"/>
            </w:rPr>
          </w:pPr>
        </w:p>
        <w:sdt>
          <w:sdtPr>
            <w:alias w:val="Pavadinimas"/>
            <w:tag w:val="title_f832bb9254954c85b1839cd586675e9d"/>
            <w:id w:val="-88076005"/>
            <w:lock w:val="sdtLocked"/>
          </w:sdtPr>
          <w:sdtContent>
            <w:p w:rsidR="000B7171" w:rsidRDefault="000304DF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>VIEŠOSIOS ĮSTAIGOS KUPIŠKIO RAJONO SAVIVALDYBĖS</w:t>
              </w:r>
            </w:p>
            <w:p w:rsidR="000B7171" w:rsidRDefault="000304DF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>PIRMINĖS ASMENS SVEIKATOS PRIEŽIŪROS CENTRO</w:t>
              </w:r>
            </w:p>
            <w:p w:rsidR="000B7171" w:rsidRDefault="000304DF">
              <w:pPr>
                <w:jc w:val="center"/>
                <w:rPr>
                  <w:b/>
                  <w:bCs/>
                  <w:szCs w:val="24"/>
                  <w:lang w:val="en-GB"/>
                </w:rPr>
              </w:pPr>
              <w:r>
                <w:rPr>
                  <w:b/>
                  <w:bCs/>
                  <w:szCs w:val="24"/>
                </w:rPr>
                <w:t>ATLYGINTINA</w:t>
              </w:r>
              <w:r>
                <w:rPr>
                  <w:b/>
                  <w:bCs/>
                  <w:szCs w:val="24"/>
                  <w:lang w:val="en-GB"/>
                </w:rPr>
                <w:t>I TEIKIAMŲ PASLAUGŲ KAINOS</w:t>
              </w:r>
            </w:p>
          </w:sdtContent>
        </w:sdt>
        <w:p w:rsidR="000B7171" w:rsidRDefault="000B7171">
          <w:pPr>
            <w:spacing w:line="360" w:lineRule="auto"/>
            <w:rPr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817"/>
            <w:gridCol w:w="992"/>
            <w:gridCol w:w="6950"/>
            <w:gridCol w:w="1095"/>
          </w:tblGrid>
          <w:tr w:rsidR="000B7171">
            <w:tc>
              <w:tcPr>
                <w:tcW w:w="817" w:type="dxa"/>
              </w:tcPr>
              <w:p w:rsidR="000B7171" w:rsidRDefault="000304DF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  <w:lang w:eastAsia="lt-LT"/>
                  </w:rPr>
                  <w:t>Eil. Nr.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Kodas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Paslaugos pavadinimas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Kaina </w:t>
                </w:r>
              </w:p>
              <w:p w:rsidR="000B7171" w:rsidRDefault="000304DF">
                <w:pPr>
                  <w:jc w:val="center"/>
                  <w:rPr>
                    <w:szCs w:val="24"/>
                  </w:rPr>
                </w:pPr>
                <w:r>
                  <w:rPr>
                    <w:b/>
                    <w:szCs w:val="24"/>
                  </w:rPr>
                  <w:t>(eurai)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jc w:val="center"/>
                  <w:rPr>
                    <w:b/>
                    <w:szCs w:val="24"/>
                    <w:lang w:eastAsia="lt-LT"/>
                  </w:rPr>
                </w:pPr>
                <w:r>
                  <w:rPr>
                    <w:b/>
                    <w:szCs w:val="24"/>
                    <w:lang w:eastAsia="lt-LT"/>
                  </w:rPr>
                  <w:t>1.</w:t>
                </w:r>
              </w:p>
            </w:tc>
            <w:tc>
              <w:tcPr>
                <w:tcW w:w="9037" w:type="dxa"/>
                <w:gridSpan w:val="3"/>
              </w:tcPr>
              <w:p w:rsidR="000B7171" w:rsidRDefault="000304DF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PACIENTO PRIĖMIMAS IR KONSULTAVIMAS</w:t>
                </w:r>
              </w:p>
              <w:p w:rsidR="000B7171" w:rsidRDefault="000304DF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szCs w:val="24"/>
                  </w:rPr>
                  <w:t>(nedraustiems privalomuoju sveikatos draudimu)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1.1.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02001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rPr>
                    <w:szCs w:val="24"/>
                  </w:rPr>
                </w:pPr>
                <w:r>
                  <w:rPr>
                    <w:szCs w:val="24"/>
                    <w:lang w:eastAsia="lt-LT"/>
                  </w:rPr>
                  <w:t>Pirminis vidaus ar vaikų ligų gydytojo, chirurgo, akušerio ginekologo, odontologo priėmimas ar konsultacija, įskaitant būtinosios dokumentacijos įforminimą sveikatos priežiūros įstaigos darbo metu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29,30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1.2.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02005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Pirminis šeimos gydytojo priėmimas ir konsultacija</w:t>
                </w:r>
              </w:p>
              <w:p w:rsidR="000B7171" w:rsidRDefault="000304DF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Pastaba: kartotinam (dviejų savaičių laikotarpiu) pacientų priėmimui išvardintoms pozicijoms taikoma 50  proc. nuolaida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36,69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2.</w:t>
                </w:r>
              </w:p>
            </w:tc>
            <w:tc>
              <w:tcPr>
                <w:tcW w:w="9037" w:type="dxa"/>
                <w:gridSpan w:val="3"/>
              </w:tcPr>
              <w:p w:rsidR="000B7171" w:rsidRDefault="004F363E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b/>
                    <w:szCs w:val="24"/>
                  </w:rPr>
                  <w:t>*</w:t>
                </w:r>
                <w:r w:rsidR="00286DCC">
                  <w:rPr>
                    <w:b/>
                    <w:szCs w:val="24"/>
                  </w:rPr>
                  <w:t>*</w:t>
                </w:r>
                <w:r w:rsidR="000304DF">
                  <w:rPr>
                    <w:b/>
                    <w:szCs w:val="24"/>
                  </w:rPr>
                  <w:t>BIOCHEMINIAI TYRIMAI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2.1.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15011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Gliukozės koncentracijos kapiliariniame kraujyje nustatymas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2,24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2.2.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15012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Gliukozės koncentracijos serume ( plazmoje ) nustatymas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2,08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2.3.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15013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Gliukozės toleravimo mėginys ( GTM 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3,58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2.4.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18022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CRB reaktyvinis baltymas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12,14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3.</w:t>
                </w:r>
              </w:p>
            </w:tc>
            <w:tc>
              <w:tcPr>
                <w:tcW w:w="9037" w:type="dxa"/>
                <w:gridSpan w:val="3"/>
              </w:tcPr>
              <w:p w:rsidR="000B7171" w:rsidRDefault="004F363E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b/>
                    <w:szCs w:val="24"/>
                  </w:rPr>
                  <w:t>*</w:t>
                </w:r>
                <w:r w:rsidR="00286DCC">
                  <w:rPr>
                    <w:b/>
                    <w:szCs w:val="24"/>
                  </w:rPr>
                  <w:t>*</w:t>
                </w:r>
                <w:r w:rsidR="000304DF">
                  <w:rPr>
                    <w:b/>
                    <w:szCs w:val="24"/>
                  </w:rPr>
                  <w:t>HEMATOLOGINIAI IR BENDRAKLINIKINIAI TYRIMAI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3.1.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16005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Veninio kraujo tyrimas automatizuotu būdu  (bendras kr.tyr.)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9,70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3.2.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16011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Kraujo tyrimas ENG nustatyti ( kapiliariniame kraujyje 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1,72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3.3.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16012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Kraujo tyrimas ENG nustatyti  ( veniniame kraujyje 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1,72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3.4.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16048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Šlapimo tyrimas automatizuotu būdu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7,82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3.5.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16054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Šlapimo nuosėdų mikroskopija ( patologija 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2,67</w:t>
                </w:r>
              </w:p>
            </w:tc>
          </w:tr>
          <w:tr w:rsidR="000B7171"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4.</w:t>
                </w:r>
              </w:p>
            </w:tc>
            <w:tc>
              <w:tcPr>
                <w:tcW w:w="9037" w:type="dxa"/>
                <w:gridSpan w:val="3"/>
              </w:tcPr>
              <w:p w:rsidR="000B7171" w:rsidRDefault="004F363E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b/>
                    <w:szCs w:val="24"/>
                  </w:rPr>
                  <w:t>*</w:t>
                </w:r>
                <w:r w:rsidR="00286DCC">
                  <w:rPr>
                    <w:b/>
                    <w:szCs w:val="24"/>
                  </w:rPr>
                  <w:t>*</w:t>
                </w:r>
                <w:r w:rsidR="000304DF">
                  <w:rPr>
                    <w:b/>
                    <w:szCs w:val="24"/>
                  </w:rPr>
                  <w:t>AKUŠERINĖS IR GINEKOLOGINĖS PASLAUGOS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4.1.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39055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Onkocitologinio tepinėlio paėmimas (ne pagal programą)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7,39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5.</w:t>
                </w:r>
              </w:p>
            </w:tc>
            <w:tc>
              <w:tcPr>
                <w:tcW w:w="9037" w:type="dxa"/>
                <w:gridSpan w:val="3"/>
              </w:tcPr>
              <w:p w:rsidR="000B7171" w:rsidRDefault="004F363E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b/>
                    <w:szCs w:val="24"/>
                  </w:rPr>
                  <w:t>*</w:t>
                </w:r>
                <w:r w:rsidR="00286DCC">
                  <w:rPr>
                    <w:b/>
                    <w:szCs w:val="24"/>
                  </w:rPr>
                  <w:t>*</w:t>
                </w:r>
                <w:r w:rsidR="000304DF">
                  <w:rPr>
                    <w:b/>
                    <w:szCs w:val="24"/>
                  </w:rPr>
                  <w:t>KITOS MOKAMOS SVEIKATOS PRIEŽIŪROS PASLAUGOS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04001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Kraujo paėmimas iš venos 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4,70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5.2.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04004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Injekcija į veną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4,70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5.3.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04006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Injekcija į raumenis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3,29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5.4.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04009</w:t>
                </w:r>
              </w:p>
            </w:tc>
            <w:tc>
              <w:tcPr>
                <w:tcW w:w="6950" w:type="dxa"/>
              </w:tcPr>
              <w:p w:rsidR="000B7171" w:rsidRDefault="004F363E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*</w:t>
                </w:r>
                <w:r w:rsidR="000304DF">
                  <w:rPr>
                    <w:szCs w:val="24"/>
                  </w:rPr>
                  <w:t xml:space="preserve">Infuzija į veną 10–30 min.  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7,89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lastRenderedPageBreak/>
                  <w:t>5.5.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04010</w:t>
                </w:r>
              </w:p>
            </w:tc>
            <w:tc>
              <w:tcPr>
                <w:tcW w:w="6950" w:type="dxa"/>
              </w:tcPr>
              <w:p w:rsidR="000B7171" w:rsidRDefault="004F363E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*</w:t>
                </w:r>
                <w:r w:rsidR="000304DF">
                  <w:rPr>
                    <w:szCs w:val="24"/>
                  </w:rPr>
                  <w:t xml:space="preserve">Infuzija į veną ilgiau kaip 30 min.  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9,52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5.6.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16001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Kapiliarinio kraujo paėmimas ( iš piršto)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1,72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5.7.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03001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Perrišimas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4,10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5.8.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Storosios žarnos vėžio diagnostika (ne pagal programą), iš viso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1,10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5.9.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16065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ind w:firstLine="62"/>
                  <w:rPr>
                    <w:szCs w:val="24"/>
                  </w:rPr>
                </w:pPr>
                <w:r>
                  <w:rPr>
                    <w:szCs w:val="24"/>
                  </w:rPr>
                  <w:t>tyrimas slaptam kraujavimui nustatyti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0,67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5.10.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ind w:firstLine="62"/>
                  <w:rPr>
                    <w:szCs w:val="24"/>
                  </w:rPr>
                </w:pPr>
                <w:r>
                  <w:rPr>
                    <w:szCs w:val="24"/>
                  </w:rPr>
                  <w:t>indelis kaprologiniam mėginiui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0,09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5.11.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ind w:firstLine="62"/>
                  <w:rPr>
                    <w:szCs w:val="24"/>
                  </w:rPr>
                </w:pPr>
                <w:r>
                  <w:rPr>
                    <w:szCs w:val="24"/>
                  </w:rPr>
                  <w:t>iFOBT testas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0,34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5.12.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Konkrementų pašalinimas ir poliravimas: </w:t>
                </w:r>
              </w:p>
            </w:tc>
            <w:tc>
              <w:tcPr>
                <w:tcW w:w="1095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5.13.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50078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ind w:firstLine="62"/>
                  <w:rPr>
                    <w:szCs w:val="24"/>
                  </w:rPr>
                </w:pPr>
                <w:r>
                  <w:rPr>
                    <w:szCs w:val="24"/>
                  </w:rPr>
                  <w:t>danties viršuje (1 dantis)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1,24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5.14.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50079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ind w:firstLine="62"/>
                  <w:rPr>
                    <w:szCs w:val="24"/>
                  </w:rPr>
                </w:pPr>
                <w:r>
                  <w:rPr>
                    <w:szCs w:val="24"/>
                  </w:rPr>
                  <w:t>po dantenomis (1 dantis)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2,37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5.15.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Danties rentgenograma, iš viso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5,00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5.16.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25009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ind w:firstLine="62"/>
                  <w:rPr>
                    <w:szCs w:val="24"/>
                  </w:rPr>
                </w:pPr>
                <w:r>
                  <w:rPr>
                    <w:szCs w:val="24"/>
                  </w:rPr>
                  <w:t>danties rentgenogramos atlikimas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3,05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5.17.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ind w:firstLine="62"/>
                  <w:rPr>
                    <w:szCs w:val="24"/>
                  </w:rPr>
                </w:pPr>
                <w:r>
                  <w:rPr>
                    <w:szCs w:val="24"/>
                  </w:rPr>
                  <w:t>priemonių sąnaudos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1,95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5.18.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Funkcinės diagnostikos tyrimai:</w:t>
                </w:r>
              </w:p>
            </w:tc>
            <w:tc>
              <w:tcPr>
                <w:tcW w:w="1095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5.19.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28026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12-os derivacijų EKG užrašymas kabinete su gydytojo aprašymu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10,65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5.20.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28027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12-os derivacijų EKG užrašymas kabinete be gydytojo aprašymo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5,94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5.21.</w:t>
                </w:r>
              </w:p>
            </w:tc>
            <w:tc>
              <w:tcPr>
                <w:tcW w:w="992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Greitoji medicinos pagalba:</w:t>
                </w:r>
              </w:p>
            </w:tc>
            <w:tc>
              <w:tcPr>
                <w:tcW w:w="1095" w:type="dxa"/>
              </w:tcPr>
              <w:p w:rsidR="000B7171" w:rsidRDefault="000B7171">
                <w:pPr>
                  <w:spacing w:line="360" w:lineRule="auto"/>
                  <w:jc w:val="center"/>
                  <w:rPr>
                    <w:szCs w:val="24"/>
                  </w:rPr>
                </w:pP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5.22.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01001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greitosios medicinos pagalbos 1 iškvietimas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34,53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5.23.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01004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med. felčerio  budėjimas (su transportu, 1 valanda)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15,46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6.</w:t>
                </w:r>
              </w:p>
            </w:tc>
            <w:tc>
              <w:tcPr>
                <w:tcW w:w="9037" w:type="dxa"/>
                <w:gridSpan w:val="3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b/>
                    <w:szCs w:val="24"/>
                  </w:rPr>
                  <w:t>MEDICININĖ GYDYTOJŲ KOMISIJA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6.1.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60035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Vykstančių į užsienį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18,78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6.2.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60036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Norinčių įsigyti civilinį ginklą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30,04</w:t>
                </w:r>
              </w:p>
            </w:tc>
          </w:tr>
          <w:tr w:rsidR="000B7171">
            <w:trPr>
              <w:trHeight w:val="434"/>
            </w:trPr>
            <w:tc>
              <w:tcPr>
                <w:tcW w:w="817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6.3.</w:t>
                </w:r>
              </w:p>
            </w:tc>
            <w:tc>
              <w:tcPr>
                <w:tcW w:w="992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60037</w:t>
                </w:r>
              </w:p>
            </w:tc>
            <w:tc>
              <w:tcPr>
                <w:tcW w:w="6950" w:type="dxa"/>
              </w:tcPr>
              <w:p w:rsidR="000B7171" w:rsidRDefault="000304D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Vairuotojų mėgėjų</w:t>
                </w:r>
              </w:p>
            </w:tc>
            <w:tc>
              <w:tcPr>
                <w:tcW w:w="1095" w:type="dxa"/>
              </w:tcPr>
              <w:p w:rsidR="000B7171" w:rsidRDefault="000304DF">
                <w:pPr>
                  <w:spacing w:line="360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26,30</w:t>
                </w:r>
              </w:p>
            </w:tc>
          </w:tr>
        </w:tbl>
        <w:p w:rsidR="000B7171" w:rsidRDefault="000B7171">
          <w:pPr>
            <w:spacing w:line="360" w:lineRule="auto"/>
            <w:rPr>
              <w:b/>
              <w:szCs w:val="24"/>
            </w:rPr>
          </w:pPr>
        </w:p>
        <w:sdt>
          <w:sdtPr>
            <w:alias w:val="pr. 7 p."/>
            <w:tag w:val="part_fb061c501f4d46f9910c7ef145cd5bbd"/>
            <w:id w:val="588352228"/>
            <w:lock w:val="sdtLocked"/>
          </w:sdtPr>
          <w:sdtContent>
            <w:p w:rsidR="000B7171" w:rsidRDefault="00EB3337">
              <w:pPr>
                <w:spacing w:line="360" w:lineRule="auto"/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fb061c501f4d46f9910c7ef145cd5bbd"/>
                  <w:id w:val="1932543104"/>
                  <w:lock w:val="sdtLocked"/>
                </w:sdtPr>
                <w:sdtContent>
                  <w:r w:rsidR="000304DF">
                    <w:rPr>
                      <w:b/>
                      <w:szCs w:val="24"/>
                    </w:rPr>
                    <w:t>7</w:t>
                  </w:r>
                </w:sdtContent>
              </w:sdt>
              <w:r w:rsidR="000304DF">
                <w:rPr>
                  <w:b/>
                  <w:szCs w:val="24"/>
                </w:rPr>
                <w:t>. PROFILAKTINIAI SVEIKATOS TIKRINIMAI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>
              <w:tblGrid>
                <w:gridCol w:w="1101"/>
                <w:gridCol w:w="5528"/>
                <w:gridCol w:w="1559"/>
                <w:gridCol w:w="1418"/>
              </w:tblGrid>
              <w:tr w:rsidR="000B7171">
                <w:tc>
                  <w:tcPr>
                    <w:tcW w:w="1101" w:type="dxa"/>
                    <w:vMerge w:val="restart"/>
                  </w:tcPr>
                  <w:p w:rsidR="000B7171" w:rsidRDefault="000304DF">
                    <w:pPr>
                      <w:spacing w:line="360" w:lineRule="auto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Eil. Nr.</w:t>
                    </w:r>
                  </w:p>
                </w:tc>
                <w:tc>
                  <w:tcPr>
                    <w:tcW w:w="5528" w:type="dxa"/>
                    <w:vMerge w:val="restart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Profilaktinių sveikatos tikrinimų rūšys</w:t>
                    </w:r>
                  </w:p>
                </w:tc>
                <w:tc>
                  <w:tcPr>
                    <w:tcW w:w="2977" w:type="dxa"/>
                    <w:gridSpan w:val="2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 xml:space="preserve">Kaina  (eurais) </w:t>
                    </w:r>
                  </w:p>
                </w:tc>
              </w:tr>
              <w:tr w:rsidR="000B7171">
                <w:tc>
                  <w:tcPr>
                    <w:tcW w:w="1101" w:type="dxa"/>
                    <w:vMerge/>
                  </w:tcPr>
                  <w:p w:rsidR="000B7171" w:rsidRDefault="000B7171">
                    <w:pPr>
                      <w:spacing w:line="360" w:lineRule="auto"/>
                      <w:rPr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  <w:vMerge/>
                  </w:tcPr>
                  <w:p w:rsidR="000B7171" w:rsidRDefault="000B7171">
                    <w:pPr>
                      <w:spacing w:line="360" w:lineRule="auto"/>
                      <w:rPr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įsidarbinant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dirbant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7.1.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Jūrininkų ir vidaus vandenų transporto specialistų bei motorinių pramoginių laivų ir kitų motorinių plaukiojimo priemonių laivavedžių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47,94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72,30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7.2.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Traukinio mašinistų ir darbuotojų, kurių darbas susijęs su geležinkelių transporto eismu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8,93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21,94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7.3.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Aviacijos darbuotojų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129,99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169,80*/  77,18*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7.4.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spacing w:line="360" w:lineRule="auto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Vairuotojų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28,44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32,49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lastRenderedPageBreak/>
                      <w:t>7.5.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Darbuotojų, dirbančių galimos profesinės rizikos sąlygomis (esant sveikatai kenksmingų veiksnių poveikio rizikai ar dirbančių pavojingus darbus) :</w:t>
                    </w:r>
                  </w:p>
                </w:tc>
                <w:tc>
                  <w:tcPr>
                    <w:tcW w:w="1559" w:type="dxa"/>
                  </w:tcPr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418" w:type="dxa"/>
                  </w:tcPr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7.5.1.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darbuotojų, dirbančių profesinės rizikos sąlygomis (darbai įrašyti į pavojingų darbų sąrašą)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10,57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17,87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7.5.2.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darbuotojų, dirbančių kenksmingų cheminių veiksnių rizikos sąlygomis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3,26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15,43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7.5.3.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darbuotojų, dirbančių kenksmingų biologinių veiksnių rizikos sąlygomis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0,00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11,37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7.5.4.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darbuotojų, dirbančių kenksmingų pramoninių aerozolių rizikos sąlygomis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8,93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18,69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7.5.5.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darbuotojų, dirbančių kenksmingų fizikinių veiksnių rizikos sąlygomis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4,06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12,19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7.5.6.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darbuotojų, dirbančių dėl fizinių perkrovų pavojingą darbą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4,88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12,19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7.6.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Darbuotojams, kuriems leidžiama dirbti tik iš anksto pasitikrinus ir vėliau periodiškai besitikrinantiems sveikatą dėl užkrečiamųjų ligų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5,69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4,06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7.7.</w:t>
                    </w: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2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ind w:right="34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 xml:space="preserve">Vidaus tarnybos sistemos pareigūnų, kurie tikrinami pagalVidaus tarnybos sistemos pareigūnų privalomų periodinių profilaktinių sveikatos patikrinimų tvarkos aprašą, patvirtintą </w:t>
                    </w:r>
                    <w:r>
                      <w:rPr>
                        <w:szCs w:val="24"/>
                        <w:lang w:val="pt-BR" w:eastAsia="lt-LT"/>
                      </w:rPr>
                      <w:t xml:space="preserve">Lietuvos Respublikos vidaus reikalų ministro 2008 m. birželio 16 d. įsakymu Nr. 1V-230 </w:t>
                    </w:r>
                    <w:r>
                      <w:rPr>
                        <w:szCs w:val="24"/>
                        <w:lang w:eastAsia="lt-LT"/>
                      </w:rPr>
                      <w:t>„Dėl Vidaus tarnybos sistemos pareigūnų privalomų periodinių profilaktinių sveikatos patikrinimų</w:t>
                    </w:r>
                    <w:r>
                      <w:rPr>
                        <w:bCs/>
                        <w:szCs w:val="24"/>
                        <w:lang w:eastAsia="lt-LT"/>
                      </w:rPr>
                      <w:t xml:space="preserve"> tvarkos aprašo patvirtinimo“ (toliau </w:t>
                    </w:r>
                    <w:r>
                      <w:rPr>
                        <w:szCs w:val="24"/>
                        <w:lang w:eastAsia="lt-LT"/>
                      </w:rPr>
                      <w:t>– Aprašas):</w:t>
                    </w:r>
                  </w:p>
                </w:tc>
                <w:tc>
                  <w:tcPr>
                    <w:tcW w:w="1559" w:type="dxa"/>
                  </w:tcPr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418" w:type="dxa"/>
                  </w:tcPr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7.7.1.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jc w:val="both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pareigūnų – pagal Aprašo 1 priedo 1 ir 2 punktus;</w:t>
                    </w:r>
                  </w:p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pareigūnų, kurie pagal pareigybių aprašymus patruliuoja, saugo asmenis, vykdo mobiliąsias palydas, konvojuoja – pagal Aprašo 2 priedo 1 punktą; pareigūnų, vykdančių tarnybines pareigas aplinkoje, kurioje veikia sveikatai kenks-mingi veiksniai ir medžiagos, dirbančių pavojingą darbą – pagal Aprašo 2 priedo 9 punktą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x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75,66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7.7.2.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pareigūnų, kurie pagal pareigybės aprašymą</w:t>
                    </w:r>
                  </w:p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vykdo organizuotas ginkluotas (specialiąsias) operacijas ne karo metu – pagal Aprašo 2 priedo 2 punktą;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x</w:t>
                    </w: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81,48</w:t>
                    </w: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trike/>
                        <w:szCs w:val="24"/>
                        <w:lang w:eastAsia="lt-LT"/>
                      </w:rPr>
                    </w:pP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7.7.3.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pareigūnų, kurie pagal pareigybės aprašymą</w:t>
                    </w:r>
                  </w:p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atlieka objektų patikrą, kurios tikslas – aptikti, nustatyti ir neutralizuoti ginklus ir (ar) šaudmenis, sprogstamąsias medžiagas ir (ar) užtaisus – pagal Aprašo 2 priedo 8 punktą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x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99,63</w:t>
                    </w:r>
                  </w:p>
                </w:tc>
              </w:tr>
              <w:tr w:rsidR="000B7171">
                <w:trPr>
                  <w:trHeight w:val="895"/>
                </w:trPr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7.7.4.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ugniagesių gelbėtojų, dirbančių kvėpuoti netinkamoje aplinkoje su autonominiu atvirojo kvėpavimo suslėgtu oru aparatu – pagal Aprašo 2 priedo 3 punktą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x</w:t>
                    </w: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99,18</w:t>
                    </w: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7.7.5.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skraidančiojo aviacijos personalo – pagal Aprašo 2 priedo 4 punktą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x</w:t>
                    </w: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120,76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7.7.6.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lastRenderedPageBreak/>
                      <w:t xml:space="preserve">narų, dirbančių po vandeniu su autonominiu atvirojo kvėpavimo suslėgtu oru aparatu – pagal Aprašo 2 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lastRenderedPageBreak/>
                      <w:t>priedo 5 punktą</w:t>
                    </w:r>
                  </w:p>
                  <w:p w:rsidR="000B7171" w:rsidRDefault="000B7171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</w:rPr>
                    </w:pP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lastRenderedPageBreak/>
                      <w:t>x</w:t>
                    </w: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93,86</w:t>
                    </w: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lastRenderedPageBreak/>
                      <w:t>7.7.7.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5528" w:type="dxa"/>
                  </w:tcPr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pareigūnų neeilinis sveikatos tikrinimas</w:t>
                    </w:r>
                  </w:p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po nelaimingo atsitikimo tarnyboje – pagal a</w:t>
                    </w:r>
                    <w:r>
                      <w:rPr>
                        <w:szCs w:val="24"/>
                        <w:lang w:eastAsia="lt-LT"/>
                      </w:rPr>
                      <w:t>titinkamus Aprašo 2 priedo 3, 4, 5 ir 6 punktus;</w:t>
                    </w:r>
                  </w:p>
                  <w:p w:rsidR="000B7171" w:rsidRDefault="000304DF">
                    <w:pPr>
                      <w:tabs>
                        <w:tab w:val="left" w:pos="916"/>
                        <w:tab w:val="left" w:pos="5420"/>
                      </w:tabs>
                      <w:ind w:right="34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po incidento (šaunamojo ginklo panaudojimo, nelaimingo atsitikimo) tarnyboje – pagal Aprašo 2 priedo 7 punktą</w:t>
                    </w:r>
                  </w:p>
                </w:tc>
                <w:tc>
                  <w:tcPr>
                    <w:tcW w:w="1559" w:type="dxa"/>
                  </w:tcPr>
                  <w:p w:rsidR="000B7171" w:rsidRDefault="000304DF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x</w:t>
                    </w: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tabs>
                        <w:tab w:val="left" w:pos="916"/>
                      </w:tabs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418" w:type="dxa"/>
                  </w:tcPr>
                  <w:p w:rsidR="000B7171" w:rsidRDefault="000304D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  <w:lang w:eastAsia="lt-LT"/>
                      </w:rPr>
                      <w:t>11,20</w:t>
                    </w: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  <w:p w:rsidR="000B7171" w:rsidRDefault="000B7171">
                    <w:pPr>
                      <w:jc w:val="center"/>
                      <w:rPr>
                        <w:szCs w:val="24"/>
                        <w:lang w:eastAsia="lt-LT"/>
                      </w:rPr>
                    </w:pPr>
                  </w:p>
                </w:tc>
              </w:tr>
            </w:tbl>
            <w:p w:rsidR="000B7171" w:rsidRDefault="00EB3337">
              <w:pPr>
                <w:rPr>
                  <w:b/>
                  <w:szCs w:val="24"/>
                </w:rPr>
              </w:pPr>
            </w:p>
          </w:sdtContent>
        </w:sdt>
        <w:sdt>
          <w:sdtPr>
            <w:alias w:val="pr. 8 p."/>
            <w:tag w:val="part_687c7079561048b09f919401cfbf6511"/>
            <w:id w:val="-911775584"/>
            <w:lock w:val="sdtLocked"/>
          </w:sdtPr>
          <w:sdtContent>
            <w:p w:rsidR="000B7171" w:rsidRDefault="00EB3337">
              <w:pPr>
                <w:jc w:val="center"/>
                <w:rPr>
                  <w:b/>
                  <w:sz w:val="22"/>
                  <w:szCs w:val="22"/>
                </w:rPr>
              </w:pPr>
              <w:sdt>
                <w:sdtPr>
                  <w:alias w:val="Numeris"/>
                  <w:tag w:val="nr_687c7079561048b09f919401cfbf6511"/>
                  <w:id w:val="-1460032673"/>
                  <w:lock w:val="sdtLocked"/>
                </w:sdtPr>
                <w:sdtContent>
                  <w:r w:rsidR="000304DF">
                    <w:rPr>
                      <w:b/>
                      <w:sz w:val="22"/>
                      <w:szCs w:val="22"/>
                    </w:rPr>
                    <w:t>8</w:t>
                  </w:r>
                </w:sdtContent>
              </w:sdt>
              <w:r w:rsidR="000304DF">
                <w:rPr>
                  <w:b/>
                  <w:sz w:val="22"/>
                  <w:szCs w:val="22"/>
                </w:rPr>
                <w:t>. KITOS MOKAMOS PASLAUGOS</w:t>
              </w:r>
            </w:p>
            <w:p w:rsidR="000B7171" w:rsidRDefault="000B7171">
              <w:pPr>
                <w:jc w:val="center"/>
                <w:rPr>
                  <w:b/>
                  <w:sz w:val="22"/>
                  <w:szCs w:val="22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>
              <w:tblGrid>
                <w:gridCol w:w="1101"/>
                <w:gridCol w:w="6804"/>
                <w:gridCol w:w="1666"/>
              </w:tblGrid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Eil. Nr.</w:t>
                    </w:r>
                  </w:p>
                </w:tc>
                <w:tc>
                  <w:tcPr>
                    <w:tcW w:w="6804" w:type="dxa"/>
                  </w:tcPr>
                  <w:p w:rsidR="000B7171" w:rsidRDefault="000304DF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Paslaugos pavadinimas</w:t>
                    </w:r>
                  </w:p>
                </w:tc>
                <w:tc>
                  <w:tcPr>
                    <w:tcW w:w="1666" w:type="dxa"/>
                  </w:tcPr>
                  <w:p w:rsidR="000B7171" w:rsidRDefault="000304DF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Kaina</w:t>
                    </w:r>
                  </w:p>
                  <w:p w:rsidR="000B7171" w:rsidRDefault="000304DF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(eurais)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8.1.</w:t>
                    </w:r>
                  </w:p>
                </w:tc>
                <w:tc>
                  <w:tcPr>
                    <w:tcW w:w="6804" w:type="dxa"/>
                  </w:tcPr>
                  <w:p w:rsidR="000B7171" w:rsidRDefault="000304DF">
                    <w:pPr>
                      <w:spacing w:line="360" w:lineRule="auto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Dokumentų kopijavimas (viena lapo pusė)</w:t>
                    </w:r>
                  </w:p>
                </w:tc>
                <w:tc>
                  <w:tcPr>
                    <w:tcW w:w="1666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0,20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8.2.</w:t>
                    </w:r>
                  </w:p>
                </w:tc>
                <w:tc>
                  <w:tcPr>
                    <w:tcW w:w="6804" w:type="dxa"/>
                  </w:tcPr>
                  <w:p w:rsidR="000B7171" w:rsidRDefault="000304DF">
                    <w:pPr>
                      <w:spacing w:line="360" w:lineRule="auto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Dokumentų kopijavimas (dvi vieno lapo pusės)</w:t>
                    </w:r>
                  </w:p>
                </w:tc>
                <w:tc>
                  <w:tcPr>
                    <w:tcW w:w="1666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0,30</w:t>
                    </w:r>
                  </w:p>
                </w:tc>
              </w:tr>
              <w:tr w:rsidR="000B7171">
                <w:tc>
                  <w:tcPr>
                    <w:tcW w:w="1101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8.3.</w:t>
                    </w:r>
                  </w:p>
                </w:tc>
                <w:tc>
                  <w:tcPr>
                    <w:tcW w:w="6804" w:type="dxa"/>
                  </w:tcPr>
                  <w:p w:rsidR="000B7171" w:rsidRDefault="000304DF">
                    <w:pPr>
                      <w:spacing w:line="360" w:lineRule="auto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Pranešimo apie išduotą nedarbingumo pažymėjimą spausdinimas</w:t>
                    </w:r>
                  </w:p>
                </w:tc>
                <w:tc>
                  <w:tcPr>
                    <w:tcW w:w="1666" w:type="dxa"/>
                  </w:tcPr>
                  <w:p w:rsidR="000B7171" w:rsidRDefault="000304DF">
                    <w:pPr>
                      <w:spacing w:line="360" w:lineRule="auto"/>
                      <w:jc w:val="center"/>
                      <w:rPr>
                        <w:szCs w:val="24"/>
                        <w:lang w:eastAsia="lt-LT"/>
                      </w:rPr>
                    </w:pPr>
                    <w:r>
                      <w:rPr>
                        <w:szCs w:val="24"/>
                        <w:lang w:eastAsia="lt-LT"/>
                      </w:rPr>
                      <w:t>0,20</w:t>
                    </w:r>
                  </w:p>
                </w:tc>
              </w:tr>
            </w:tbl>
            <w:p w:rsidR="000B7171" w:rsidRDefault="004F363E" w:rsidP="004F363E">
              <w:pPr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  <w:t>*</w:t>
              </w:r>
              <w:r w:rsidR="00286DCC" w:rsidRPr="00286DCC">
                <w:rPr>
                  <w:sz w:val="22"/>
                  <w:szCs w:val="22"/>
                </w:rPr>
                <w:t>šeimos  gydytojo paskirta paslauga apmokama iš PSDF biudžeto lėšų.</w:t>
              </w:r>
            </w:p>
            <w:p w:rsidR="00286DCC" w:rsidRDefault="00286DCC" w:rsidP="004F363E">
              <w:pPr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  <w:t>**</w:t>
              </w:r>
              <w:r w:rsidRPr="00286DCC">
                <w:rPr>
                  <w:sz w:val="22"/>
                  <w:szCs w:val="22"/>
                </w:rPr>
                <w:t>šeimos gydytojo kompetencijai priskirti tyrimai yra mokami tik pageidaujant pacientui.</w:t>
              </w:r>
            </w:p>
            <w:p w:rsidR="000B7171" w:rsidRDefault="000304DF">
              <w:pPr>
                <w:jc w:val="center"/>
                <w:rPr>
                  <w:szCs w:val="24"/>
                  <w:lang w:val="en-GB"/>
                </w:rPr>
              </w:pPr>
              <w:r>
                <w:rPr>
                  <w:szCs w:val="24"/>
                  <w:lang w:val="en-GB"/>
                </w:rPr>
                <w:t>______________________</w:t>
              </w:r>
            </w:p>
            <w:p w:rsidR="000B7171" w:rsidRDefault="00EB3337">
              <w:pPr>
                <w:rPr>
                  <w:szCs w:val="24"/>
                  <w:lang w:val="en-GB"/>
                </w:rPr>
              </w:pPr>
            </w:p>
          </w:sdtContent>
        </w:sdt>
      </w:sdtContent>
    </w:sdt>
    <w:sectPr w:rsidR="000B7171" w:rsidSect="00EB3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CA" w:rsidRDefault="00040ACA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1">
    <w:p w:rsidR="00040ACA" w:rsidRDefault="00040ACA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71" w:rsidRDefault="000B7171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71" w:rsidRDefault="000B7171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71" w:rsidRDefault="000B7171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CA" w:rsidRDefault="00040ACA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1">
    <w:p w:rsidR="00040ACA" w:rsidRDefault="00040ACA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71" w:rsidRDefault="000B7171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71" w:rsidRDefault="00EB3337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 w:rsidR="000304DF">
      <w:rPr>
        <w:szCs w:val="24"/>
        <w:lang w:val="en-GB"/>
      </w:rPr>
      <w:instrText>PAGE   \* MERGEFORMAT</w:instrText>
    </w:r>
    <w:r>
      <w:rPr>
        <w:szCs w:val="24"/>
        <w:lang w:val="en-GB"/>
      </w:rPr>
      <w:fldChar w:fldCharType="separate"/>
    </w:r>
    <w:r w:rsidR="00286DCC" w:rsidRPr="00286DCC">
      <w:rPr>
        <w:noProof/>
        <w:szCs w:val="24"/>
      </w:rPr>
      <w:t>4</w:t>
    </w:r>
    <w:r>
      <w:rPr>
        <w:szCs w:val="24"/>
        <w:lang w:val="en-GB"/>
      </w:rPr>
      <w:fldChar w:fldCharType="end"/>
    </w:r>
    <w:bookmarkStart w:id="0" w:name="_GoBack"/>
    <w:bookmarkEnd w:id="0"/>
  </w:p>
  <w:p w:rsidR="000B7171" w:rsidRDefault="000B7171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71" w:rsidRDefault="000B7171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41"/>
    <w:rsid w:val="000304DF"/>
    <w:rsid w:val="00040ACA"/>
    <w:rsid w:val="000B7171"/>
    <w:rsid w:val="00286DCC"/>
    <w:rsid w:val="00467F41"/>
    <w:rsid w:val="004F363E"/>
    <w:rsid w:val="006B17F2"/>
    <w:rsid w:val="008E33A0"/>
    <w:rsid w:val="009F3ACB"/>
    <w:rsid w:val="00B7271D"/>
    <w:rsid w:val="00EB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F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A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28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riedas" Abbr="pr." Title="VIEŠOSIOS ĮSTAIGOS KUPIŠKIO RAJONO SAVIVALDYBĖS PIRMINĖS ASMENS SVEIKATOS PRIEŽIŪROS CENTRO ATLYGINTINAI TEIKIAMŲ PASLAUGŲ KAINOS" DocPartId="41161258cc61495db7276d86b2d8ee54" PartId="f832bb9254954c85b1839cd586675e9d">
    <Part Type="punktas" Nr="7" Abbr="pr. 7 p." DocPartId="276b13a72997427da6d54f916d3eefa0" PartId="fb061c501f4d46f9910c7ef145cd5bbd"/>
    <Part Type="punktas" Nr="8" Abbr="pr. 8 p." DocPartId="8da9b17c8d0a4b1a93afd6e9ab4a4b04" PartId="687c7079561048b09f919401cfbf6511"/>
  </Part>
</Parts>
</file>

<file path=customXml/itemProps1.xml><?xml version="1.0" encoding="utf-8"?>
<ds:datastoreItem xmlns:ds="http://schemas.openxmlformats.org/officeDocument/2006/customXml" ds:itemID="{45BC3D83-2A1E-4494-9D2D-224EADDB2FF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4257</Words>
  <Characters>2427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S215</cp:lastModifiedBy>
  <cp:revision>7</cp:revision>
  <cp:lastPrinted>2022-11-14T08:52:00Z</cp:lastPrinted>
  <dcterms:created xsi:type="dcterms:W3CDTF">2022-09-29T11:53:00Z</dcterms:created>
  <dcterms:modified xsi:type="dcterms:W3CDTF">2023-03-20T12:19:00Z</dcterms:modified>
</cp:coreProperties>
</file>